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snapToGrid/>
        <w:spacing w:line="240" w:lineRule="auto"/>
        <w:ind w:firstLine="0"/>
        <w:rPr>
          <w:rFonts w:ascii="仿宋_GB2312" w:hAnsi="仿宋_GB2312" w:eastAsia="仿宋_GB2312" w:cs="仿宋_GB2312"/>
          <w:snapToGrid/>
          <w:kern w:val="2"/>
          <w:sz w:val="32"/>
          <w:szCs w:val="32"/>
        </w:rPr>
      </w:pPr>
      <w:r>
        <w:rPr>
          <w:rFonts w:hint="eastAsia" w:ascii="仿宋_GB2312" w:hAnsi="仿宋_GB2312" w:eastAsia="仿宋_GB2312" w:cs="仿宋_GB2312"/>
          <w:snapToGrid/>
          <w:kern w:val="2"/>
          <w:sz w:val="32"/>
          <w:szCs w:val="32"/>
        </w:rPr>
        <w:t>附件4：</w:t>
      </w:r>
    </w:p>
    <w:p>
      <w:pPr>
        <w:autoSpaceDE/>
        <w:autoSpaceDN/>
        <w:snapToGrid/>
        <w:spacing w:line="240" w:lineRule="auto"/>
        <w:ind w:firstLine="0"/>
        <w:jc w:val="center"/>
        <w:rPr>
          <w:rFonts w:ascii="方正小标宋简体" w:hAnsi="方正小标宋简体" w:eastAsia="方正小标宋简体" w:cs="方正小标宋简体"/>
          <w:snapToGrid/>
          <w:spacing w:val="-4"/>
          <w:kern w:val="2"/>
          <w:sz w:val="44"/>
          <w:szCs w:val="44"/>
        </w:rPr>
      </w:pPr>
      <w:bookmarkStart w:id="0" w:name="_GoBack"/>
      <w:r>
        <w:rPr>
          <w:rFonts w:hint="eastAsia" w:ascii="方正小标宋简体" w:hAnsi="方正小标宋简体" w:eastAsia="方正小标宋简体" w:cs="方正小标宋简体"/>
          <w:snapToGrid/>
          <w:spacing w:val="-4"/>
          <w:kern w:val="2"/>
          <w:sz w:val="44"/>
          <w:szCs w:val="44"/>
        </w:rPr>
        <w:t>市政设施建设类行政许可“一件事”办事指南</w:t>
      </w:r>
    </w:p>
    <w:bookmarkEnd w:id="0"/>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一、事项名称</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市政设施建设类行政许可“一件事”</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二、受理对象</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法人、非法人经济组织、自然人</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三、联办事项</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占用、挖掘城市道路审批</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依附于城市道路建设各种管线、杆线等设施审批</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城市桥梁上架设各类市政管线审批</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临时占用城市绿地审批</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拆除、移动城镇排水与污水处理设施方案审核</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因建设确需改装、拆除或者迁移城市公共供水设施审批</w:t>
      </w:r>
    </w:p>
    <w:p>
      <w:pPr>
        <w:autoSpaceDE/>
        <w:autoSpaceDN/>
        <w:snapToGrid/>
        <w:spacing w:line="560" w:lineRule="exact"/>
        <w:ind w:firstLine="560" w:firstLineChars="200"/>
        <w:rPr>
          <w:rFonts w:hint="eastAsia"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燃气设施改装、迁移或者拆除审批</w:t>
      </w:r>
    </w:p>
    <w:p>
      <w:pPr>
        <w:autoSpaceDE/>
        <w:autoSpaceDN/>
        <w:snapToGrid/>
        <w:spacing w:line="560" w:lineRule="exact"/>
        <w:ind w:firstLine="560" w:firstLineChars="200"/>
        <w:rPr>
          <w:rFonts w:hint="eastAsia" w:ascii="黑体" w:hAnsi="黑体" w:eastAsia="黑体" w:cs="黑体"/>
          <w:snapToGrid/>
          <w:kern w:val="2"/>
          <w:sz w:val="28"/>
          <w:szCs w:val="28"/>
        </w:rPr>
      </w:pPr>
      <w:r>
        <w:rPr>
          <w:rFonts w:hint="eastAsia" w:ascii="黑体" w:hAnsi="黑体" w:eastAsia="黑体" w:cs="黑体"/>
          <w:snapToGrid/>
          <w:kern w:val="2"/>
          <w:sz w:val="28"/>
          <w:szCs w:val="28"/>
        </w:rPr>
        <w:t>四、法律依据</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《城市道路管理条例》</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《城市绿化条例》</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《城市供水条例》</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《城镇排水与污水处理条例》</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《城镇燃气管理条例》</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五、申请条件</w:t>
      </w:r>
    </w:p>
    <w:p>
      <w:pPr>
        <w:autoSpaceDE/>
        <w:autoSpaceDN/>
        <w:snapToGrid/>
        <w:spacing w:line="560" w:lineRule="exact"/>
        <w:ind w:firstLine="420" w:firstLineChars="15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《城市道路管理条例》（国务院令第198号）第三十一条第一款　因特殊情况需要临时占用城市道路的,须经市政工程行政主管部门和公安交通管理部门批准,方可按照规定占用。第三十三条 因工程建设需要挖掘城市道路的，应当提交城市规划部门批准签发的文件和有关设计文件，经市政工程行政主管部门和公安交通管理部门批准，方可按照规定挖掘。</w:t>
      </w:r>
    </w:p>
    <w:p>
      <w:pPr>
        <w:autoSpaceDE/>
        <w:autoSpaceDN/>
        <w:snapToGrid/>
        <w:spacing w:line="560" w:lineRule="exact"/>
        <w:ind w:firstLine="420" w:firstLineChars="15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市道路管理条例》（国务院令第198号）第二十九条依附于城市道路建设各种管线、杆线等设施的，应当经市政工程行政主管部门批准，方可建设。《国务院对确需保留的行政审批项目设定行政许可的决定》（国务院令第412号）附件第109项城市桥梁上架设各类市政管线审批，实施机关：所在城市的市人民政府市政工程设施行政主管部门。 </w:t>
      </w:r>
    </w:p>
    <w:p>
      <w:pPr>
        <w:autoSpaceDE/>
        <w:autoSpaceDN/>
        <w:snapToGrid/>
        <w:spacing w:line="560" w:lineRule="exact"/>
        <w:ind w:firstLine="420" w:firstLineChars="15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《城市绿化条例》第十九条  任何单位和个人都不得擅自占用城市绿化用地；占用的绿化用地，应当限期归还。因建设或者其他特殊需要临时占用城市绿化用地，须经城市人民政府城市绿化行政主管部门同意，并按照有关规定办理临时用地手续。</w:t>
      </w:r>
    </w:p>
    <w:p>
      <w:pPr>
        <w:autoSpaceDE/>
        <w:autoSpaceDN/>
        <w:snapToGrid/>
        <w:spacing w:line="560" w:lineRule="exact"/>
        <w:ind w:firstLine="420" w:firstLineChars="15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《城镇排水与污水管理条例》（国务院令第641号）第四十三条</w:t>
      </w:r>
      <w:r>
        <w:rPr>
          <w:rFonts w:hint="eastAsia" w:ascii="仿宋_GB2312" w:hAnsi="仿宋_GB2312" w:eastAsia="仿宋_GB2312" w:cs="仿宋_GB2312"/>
          <w:snapToGrid/>
          <w:color w:val="333333"/>
          <w:kern w:val="2"/>
          <w:sz w:val="28"/>
          <w:szCs w:val="28"/>
          <w:shd w:val="clear" w:color="auto" w:fill="FFFFFF"/>
        </w:rPr>
        <w:t xml:space="preserve"> ……</w:t>
      </w:r>
      <w:r>
        <w:rPr>
          <w:rFonts w:ascii="仿宋_GB2312" w:hAnsi="仿宋_GB2312" w:eastAsia="仿宋_GB2312" w:cs="仿宋_GB2312"/>
          <w:snapToGrid/>
          <w:color w:val="333333"/>
          <w:kern w:val="2"/>
          <w:sz w:val="28"/>
          <w:szCs w:val="28"/>
          <w:shd w:val="clear" w:color="auto" w:fill="FFFFFF"/>
        </w:rPr>
        <w:t>因工程建设需要拆除、改动城镇排水与污水处理设施的，建设单位应当制定拆除、改动方案，报城镇排水主管部门审核，并承担重建、改建和采取临时措施的费用。</w:t>
      </w:r>
    </w:p>
    <w:p>
      <w:pPr>
        <w:autoSpaceDE/>
        <w:autoSpaceDN/>
        <w:snapToGrid/>
        <w:spacing w:line="560" w:lineRule="exact"/>
        <w:ind w:firstLine="420" w:firstLineChars="15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《城市供水条例》第三十条因工程建设需改装、拆除或者迁移城市公共供水设施的，建设单位应当报经县级以上人民政府城市规划行政主管部门和城市供水行政主管部门批准，并采取相应的补救措施。</w:t>
      </w:r>
    </w:p>
    <w:p>
      <w:pPr>
        <w:autoSpaceDE/>
        <w:autoSpaceDN/>
        <w:snapToGrid/>
        <w:spacing w:line="560" w:lineRule="exact"/>
        <w:ind w:firstLine="420" w:firstLineChars="150"/>
        <w:rPr>
          <w:rFonts w:ascii="仿宋_GB2312" w:hAnsi="仿宋_GB2312" w:eastAsia="仿宋_GB2312" w:cs="仿宋_GB2312"/>
          <w:snapToGrid/>
          <w:color w:val="333333"/>
          <w:kern w:val="2"/>
          <w:sz w:val="28"/>
          <w:szCs w:val="28"/>
          <w:shd w:val="clear" w:color="auto" w:fill="FFFFFF"/>
        </w:rPr>
      </w:pPr>
      <w:r>
        <w:rPr>
          <w:rFonts w:ascii="仿宋_GB2312" w:hAnsi="仿宋_GB2312" w:eastAsia="仿宋_GB2312" w:cs="仿宋_GB2312"/>
          <w:snapToGrid/>
          <w:color w:val="333333"/>
          <w:kern w:val="2"/>
          <w:sz w:val="28"/>
          <w:szCs w:val="28"/>
          <w:shd w:val="clear" w:color="auto" w:fill="FFFFFF"/>
        </w:rPr>
        <w:t>《城镇燃气管理条例》（国务院令第583号）第三十八条燃气经营者改动市政燃气设施，应当制定改动方案，报县级以上地方政府燃气管理部门批准。改动方案应当符合燃气发展规划，明确安全施工要求，有安全防护和保障正常用气的措施。</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六、受理机构</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泰州市、各市（区）政务服务中心综合受理窗口</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七、申请材料</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1</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市政设施建设类行政许可“一件事”申请表</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2</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营业执照复印件</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3</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法人、委托人身份证明（委托人授权证明）</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4</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项目立项批文</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5</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建设工程规划许可证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6</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规划红线图（总平面图）、施工图（包含平面和断面）</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7</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施工组织设计方案、施工环境保护措施方案</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8</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公安交通管理部门意见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9</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绿化补偿方案及补偿费缴纳凭证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10</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改动燃气设施的技术文件（设计图纸、总平面图等）</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11</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改动燃气设施的安全措施方案</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12</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桥梁原设计单位或具备相应条件设计单位出具的技术安全意见书</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13</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拆除、移动城镇排水与污水处理设施方案审批报告</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八、办理流程</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（一）提交材料，发起联办。申请人填写并提交《市政设施建设类行政许可“一件事”申请表》并提交相关材料，发起联办申请。</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（二）信息推送，分类审核。“一件事”服务专区按照申请人的申请和办理进度，在获取必要信息后，将事项办理登记表及相关材料分类推送至各部门。</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 xml:space="preserve">（三）统一受理，联合踏勘。各市区综合受理窗口在受理申请后，联合各地住建部门、各管线产权单位进行联合现场踏勘，6个工作日内完成所涉市政设施建设类行政许可的审批。  </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（四）自主选择，获取证件。各部门将证照流转到各市区综合受理窗口。统一由各市区综合受理窗口人员签收并发证。申请人到现场领取证件，或窗口人员邮寄给申请人。</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九、办理结果</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1</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《市政设施建设类（城市道路、城市桥梁）许可证》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2</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《城市绿地占用许可证》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3</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《拆除、移动城镇排水与污水处理设施许可证》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4</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《因建设确需改装、拆除或者迁移城市公共供水设施许可证》</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5</w:t>
      </w:r>
      <w:r>
        <w:rPr>
          <w:rFonts w:hint="eastAsia" w:ascii="仿宋_GB2312" w:hAnsi="仿宋_GB2312" w:eastAsia="仿宋_GB2312" w:cs="仿宋_GB2312"/>
          <w:snapToGrid/>
          <w:color w:val="333333"/>
          <w:kern w:val="2"/>
          <w:sz w:val="28"/>
          <w:szCs w:val="28"/>
          <w:shd w:val="clear" w:color="auto" w:fill="FFFFFF"/>
          <w:lang w:eastAsia="zh-CN"/>
        </w:rPr>
        <w:t>.</w:t>
      </w:r>
      <w:r>
        <w:rPr>
          <w:rFonts w:hint="eastAsia" w:ascii="仿宋_GB2312" w:hAnsi="仿宋_GB2312" w:eastAsia="仿宋_GB2312" w:cs="仿宋_GB2312"/>
          <w:snapToGrid/>
          <w:color w:val="333333"/>
          <w:kern w:val="2"/>
          <w:sz w:val="28"/>
          <w:szCs w:val="28"/>
          <w:shd w:val="clear" w:color="auto" w:fill="FFFFFF"/>
        </w:rPr>
        <w:t>《燃气设施改装、迁移或者拆除许可证》</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十、收费标准</w:t>
      </w:r>
    </w:p>
    <w:p>
      <w:pPr>
        <w:autoSpaceDE/>
        <w:autoSpaceDN/>
        <w:snapToGrid/>
        <w:spacing w:line="560" w:lineRule="exact"/>
        <w:ind w:firstLine="700" w:firstLineChars="25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行政许可不收费。</w:t>
      </w:r>
    </w:p>
    <w:p>
      <w:pPr>
        <w:autoSpaceDE/>
        <w:autoSpaceDN/>
        <w:snapToGrid/>
        <w:spacing w:line="560" w:lineRule="exact"/>
        <w:ind w:firstLine="560" w:firstLineChars="200"/>
        <w:rPr>
          <w:rFonts w:ascii="黑体" w:hAnsi="黑体" w:eastAsia="黑体" w:cs="黑体"/>
          <w:snapToGrid/>
          <w:kern w:val="2"/>
          <w:sz w:val="28"/>
          <w:szCs w:val="28"/>
        </w:rPr>
      </w:pPr>
      <w:r>
        <w:rPr>
          <w:rFonts w:hint="eastAsia" w:ascii="黑体" w:hAnsi="黑体" w:eastAsia="黑体" w:cs="黑体"/>
          <w:snapToGrid/>
          <w:kern w:val="2"/>
          <w:sz w:val="28"/>
          <w:szCs w:val="28"/>
        </w:rPr>
        <w:t>十一、办理时限</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法定总时限：40个工作日</w:t>
      </w:r>
    </w:p>
    <w:p>
      <w:pPr>
        <w:autoSpaceDE/>
        <w:autoSpaceDN/>
        <w:snapToGrid/>
        <w:spacing w:line="560" w:lineRule="exact"/>
        <w:ind w:firstLine="560" w:firstLineChars="200"/>
        <w:rPr>
          <w:rFonts w:ascii="仿宋_GB2312" w:hAnsi="仿宋_GB2312" w:eastAsia="仿宋_GB2312" w:cs="仿宋_GB2312"/>
          <w:snapToGrid/>
          <w:color w:val="333333"/>
          <w:kern w:val="2"/>
          <w:sz w:val="28"/>
          <w:szCs w:val="28"/>
          <w:shd w:val="clear" w:color="auto" w:fill="FFFFFF"/>
        </w:rPr>
      </w:pPr>
      <w:r>
        <w:rPr>
          <w:rFonts w:hint="eastAsia" w:ascii="仿宋_GB2312" w:hAnsi="仿宋_GB2312" w:eastAsia="仿宋_GB2312" w:cs="仿宋_GB2312"/>
          <w:snapToGrid/>
          <w:color w:val="333333"/>
          <w:kern w:val="2"/>
          <w:sz w:val="28"/>
          <w:szCs w:val="28"/>
          <w:shd w:val="clear" w:color="auto" w:fill="FFFFFF"/>
        </w:rPr>
        <w:t>全流程承诺时限：6个工作日（不含材料补正、现场踏勘不通过提出整改等时间）。</w:t>
      </w:r>
    </w:p>
    <w:p/>
    <w:sectPr>
      <w:pgSz w:w="11906" w:h="16838"/>
      <w:pgMar w:top="2098" w:right="1417" w:bottom="2041" w:left="158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5NDNhZmQ4ZmY0MjhjOGNlMzFkMjFhYmNmYWE3MTEifQ=="/>
  </w:docVars>
  <w:rsids>
    <w:rsidRoot w:val="162B45CC"/>
    <w:rsid w:val="162B45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snapToGrid w:val="0"/>
      <w:spacing w:line="590" w:lineRule="atLeast"/>
      <w:ind w:firstLine="624"/>
      <w:jc w:val="both"/>
    </w:pPr>
    <w:rPr>
      <w:rFonts w:ascii="Times New Roman" w:hAnsi="Times New Roman" w:eastAsia="方正仿宋_GBK" w:cs="Times New Roman"/>
      <w:snapToGrid w:val="0"/>
      <w:sz w:val="3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2022-07-07T10:01:00Z</dcterms:created>
  <dc:creator>落檬</dc:creator>
  <cp:lastModifiedBy>落檬</cp:lastModifiedBy>
  <dcterms:modified xsi:type="dcterms:W3CDTF">2022-07-07T10:02:23Z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DB844C77A80347A8A3957935DA72619B</vt:lpwstr>
  </property>
</Properties>
</file>